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5FC60" w14:textId="7E447189" w:rsidR="008A7996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0E5131">
        <w:rPr>
          <w:rFonts w:ascii="Corbel" w:hAnsi="Corbel" w:cs="Corbel"/>
          <w:i/>
          <w:iCs/>
        </w:rPr>
        <w:t>Załącznik nr 1.5 do Zarządzenia Rektora UR  nr 12/2019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784C4699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B122CA">
        <w:rPr>
          <w:rFonts w:ascii="Corbel" w:hAnsi="Corbel"/>
          <w:b/>
          <w:smallCaps/>
          <w:sz w:val="24"/>
          <w:szCs w:val="24"/>
        </w:rPr>
        <w:t>2022-2024</w:t>
      </w:r>
    </w:p>
    <w:p w14:paraId="4D1D4472" w14:textId="0E019A73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B122CA">
        <w:rPr>
          <w:rFonts w:ascii="Corbel" w:hAnsi="Corbel" w:cs="Corbel"/>
          <w:sz w:val="20"/>
          <w:szCs w:val="20"/>
        </w:rPr>
        <w:t>3</w:t>
      </w:r>
      <w:r w:rsidRPr="000E5131">
        <w:rPr>
          <w:rFonts w:ascii="Corbel" w:hAnsi="Corbel" w:cs="Corbel"/>
          <w:sz w:val="20"/>
          <w:szCs w:val="20"/>
        </w:rPr>
        <w:t>-202</w:t>
      </w:r>
      <w:r w:rsidR="00B122CA">
        <w:rPr>
          <w:rFonts w:ascii="Corbel" w:hAnsi="Corbel" w:cs="Corbel"/>
          <w:sz w:val="20"/>
          <w:szCs w:val="20"/>
        </w:rPr>
        <w:t>4</w:t>
      </w:r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00AE55B8">
        <w:trPr>
          <w:jc w:val="center"/>
        </w:trPr>
        <w:tc>
          <w:tcPr>
            <w:tcW w:w="2657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 przedmiotu</w:t>
            </w:r>
          </w:p>
        </w:tc>
        <w:tc>
          <w:tcPr>
            <w:tcW w:w="6982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00AE55B8">
        <w:trPr>
          <w:jc w:val="center"/>
        </w:trPr>
        <w:tc>
          <w:tcPr>
            <w:tcW w:w="2657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982" w:type="dxa"/>
            <w:vAlign w:val="center"/>
          </w:tcPr>
          <w:p w14:paraId="56000368" w14:textId="3807D964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E/II/GFiR/C-1.</w:t>
            </w:r>
            <w:r w:rsidR="000E185F">
              <w:rPr>
                <w:rFonts w:ascii="Corbel" w:hAnsi="Corbel" w:cs="Corbel"/>
              </w:rPr>
              <w:t>1a</w:t>
            </w:r>
          </w:p>
        </w:tc>
      </w:tr>
      <w:tr w:rsidR="008A7996" w:rsidRPr="000E5131" w14:paraId="6EBB61D0" w14:textId="77777777" w:rsidTr="00AE55B8">
        <w:trPr>
          <w:jc w:val="center"/>
        </w:trPr>
        <w:tc>
          <w:tcPr>
            <w:tcW w:w="2657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982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00AE55B8">
        <w:trPr>
          <w:jc w:val="center"/>
        </w:trPr>
        <w:tc>
          <w:tcPr>
            <w:tcW w:w="2657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82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00AE55B8">
        <w:trPr>
          <w:jc w:val="center"/>
        </w:trPr>
        <w:tc>
          <w:tcPr>
            <w:tcW w:w="2657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982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00AE55B8">
        <w:trPr>
          <w:jc w:val="center"/>
        </w:trPr>
        <w:tc>
          <w:tcPr>
            <w:tcW w:w="2657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982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00AE55B8">
        <w:trPr>
          <w:jc w:val="center"/>
        </w:trPr>
        <w:tc>
          <w:tcPr>
            <w:tcW w:w="2657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982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A7996" w:rsidRPr="000E5131" w14:paraId="1B231AC2" w14:textId="77777777" w:rsidTr="00AE55B8">
        <w:trPr>
          <w:jc w:val="center"/>
        </w:trPr>
        <w:tc>
          <w:tcPr>
            <w:tcW w:w="2657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982" w:type="dxa"/>
            <w:vAlign w:val="center"/>
          </w:tcPr>
          <w:p w14:paraId="2BE213EC" w14:textId="68F30E7C" w:rsidR="008A7996" w:rsidRPr="000E5131" w:rsidRDefault="00DF023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7996" w:rsidRPr="000E5131" w14:paraId="7B25AE8F" w14:textId="77777777" w:rsidTr="00AE55B8">
        <w:trPr>
          <w:jc w:val="center"/>
        </w:trPr>
        <w:tc>
          <w:tcPr>
            <w:tcW w:w="2657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982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00AE55B8">
        <w:trPr>
          <w:jc w:val="center"/>
        </w:trPr>
        <w:tc>
          <w:tcPr>
            <w:tcW w:w="2657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982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00AE55B8">
        <w:trPr>
          <w:jc w:val="center"/>
        </w:trPr>
        <w:tc>
          <w:tcPr>
            <w:tcW w:w="2657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982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00AE55B8">
        <w:trPr>
          <w:jc w:val="center"/>
        </w:trPr>
        <w:tc>
          <w:tcPr>
            <w:tcW w:w="2657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982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AE55B8" w:rsidRPr="000E5131" w14:paraId="076B6420" w14:textId="77777777" w:rsidTr="00AE55B8">
        <w:trPr>
          <w:jc w:val="center"/>
        </w:trPr>
        <w:tc>
          <w:tcPr>
            <w:tcW w:w="2657" w:type="dxa"/>
            <w:vAlign w:val="center"/>
          </w:tcPr>
          <w:p w14:paraId="4AAD0294" w14:textId="77777777" w:rsidR="00AE55B8" w:rsidRPr="000E5131" w:rsidRDefault="00AE55B8" w:rsidP="00AE55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82" w:type="dxa"/>
            <w:vAlign w:val="center"/>
          </w:tcPr>
          <w:p w14:paraId="6A48D6F5" w14:textId="598DB564" w:rsidR="00AE55B8" w:rsidRPr="000E5131" w:rsidRDefault="00AE55B8" w:rsidP="00AE55B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Semestr</w:t>
            </w:r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Wykł.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Ćw.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Konw.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Prakt.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lang w:val="en-GB"/>
              </w:rPr>
              <w:t>Liczba pkt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5F6C925B" w:rsidR="008A7996" w:rsidRPr="000E5131" w:rsidRDefault="000E185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18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58E60BB1" w:rsidR="008A7996" w:rsidRPr="000E5131" w:rsidRDefault="00AE55B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  <w:r w:rsidR="00B61F16"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0" w:name="_Hlk57369947"/>
      <w:bookmarkStart w:id="1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0E5131">
        <w:rPr>
          <w:rFonts w:ascii="Corbel" w:hAnsi="Corbel"/>
          <w:b w:val="0"/>
          <w:smallCaps w:val="0"/>
        </w:rPr>
        <w:t>ć</w:t>
      </w:r>
    </w:p>
    <w:bookmarkEnd w:id="1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185C9424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1.3 </w:t>
      </w:r>
      <w:r w:rsidRPr="000E5131">
        <w:rPr>
          <w:rFonts w:ascii="Corbel" w:hAnsi="Corbel" w:cs="Corbel"/>
          <w:smallCaps w:val="0"/>
        </w:rPr>
        <w:tab/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030E9F18" w14:textId="28587010" w:rsidR="008A7996" w:rsidRPr="000E5131" w:rsidRDefault="000D0543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62FA144A" w14:textId="77777777" w:rsidR="008A7996" w:rsidRPr="000E5131" w:rsidRDefault="008A7996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t>3. cele, efekty kształcenia ,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 i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 merytoryczne</w:t>
            </w:r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EDB45C9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Warunkiem uzyskania pozytywnej oceny jest udzielenie poprawnych odpowiedzi na minimum 51% pytań i zadań. Ostateczną ocenę zaliczeniową stanowi ocena, która może być skorygowana o 0,5 stopnia na podstawie oceny aktywności studenta na ćwiczeniach. 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6CC2F23" w14:textId="3E2A44A1" w:rsidR="008A7996" w:rsidRPr="000E5131" w:rsidRDefault="00AA7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18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Godziny niekontaktowe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7350755D" w:rsidR="008A7996" w:rsidRPr="000E5131" w:rsidRDefault="00ED0B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55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140F31D5" w:rsidR="008A7996" w:rsidRPr="000E5131" w:rsidRDefault="00ED0BF3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7</w:t>
            </w:r>
            <w:r w:rsidR="008A7996" w:rsidRPr="000E5131">
              <w:rPr>
                <w:rFonts w:ascii="Corbel" w:hAnsi="Corbel" w:cs="Corbel"/>
                <w:sz w:val="24"/>
                <w:szCs w:val="24"/>
                <w:lang w:val="en-GB"/>
              </w:rPr>
              <w:t>5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37493CB2" w:rsidR="008A7996" w:rsidRPr="000E5131" w:rsidRDefault="00ED0B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 godzinowy</w:t>
            </w:r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red. J. M. Salachna, Wyd. Odidk,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CeDeWu,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Kornberger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Lewis Nexis,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Gorzałczyńska-Koczkodaj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088FF" w14:textId="77777777" w:rsidR="00FA748E" w:rsidRDefault="00FA748E" w:rsidP="00C25957">
      <w:pPr>
        <w:spacing w:after="0" w:line="240" w:lineRule="auto"/>
      </w:pPr>
      <w:r>
        <w:separator/>
      </w:r>
    </w:p>
  </w:endnote>
  <w:endnote w:type="continuationSeparator" w:id="0">
    <w:p w14:paraId="2888719F" w14:textId="77777777" w:rsidR="00FA748E" w:rsidRDefault="00FA748E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1B75D" w14:textId="77777777" w:rsidR="00FA748E" w:rsidRDefault="00FA748E" w:rsidP="00C25957">
      <w:pPr>
        <w:spacing w:after="0" w:line="240" w:lineRule="auto"/>
      </w:pPr>
      <w:r>
        <w:separator/>
      </w:r>
    </w:p>
  </w:footnote>
  <w:footnote w:type="continuationSeparator" w:id="0">
    <w:p w14:paraId="0D7F8602" w14:textId="77777777" w:rsidR="00FA748E" w:rsidRDefault="00FA748E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hybridMultilevel"/>
    <w:tmpl w:val="17BCE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C1"/>
    <w:rsid w:val="000120B4"/>
    <w:rsid w:val="00042F94"/>
    <w:rsid w:val="000D0543"/>
    <w:rsid w:val="000E185F"/>
    <w:rsid w:val="000E5131"/>
    <w:rsid w:val="000E68A5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531F6"/>
    <w:rsid w:val="0035622F"/>
    <w:rsid w:val="00367D1A"/>
    <w:rsid w:val="003A4C9E"/>
    <w:rsid w:val="003B28B1"/>
    <w:rsid w:val="003E00EA"/>
    <w:rsid w:val="00441E2A"/>
    <w:rsid w:val="00455066"/>
    <w:rsid w:val="00484B6F"/>
    <w:rsid w:val="0048616A"/>
    <w:rsid w:val="004946E5"/>
    <w:rsid w:val="004C4187"/>
    <w:rsid w:val="004E4801"/>
    <w:rsid w:val="005301E1"/>
    <w:rsid w:val="005320A0"/>
    <w:rsid w:val="00567BC1"/>
    <w:rsid w:val="0058041C"/>
    <w:rsid w:val="005D69B5"/>
    <w:rsid w:val="00622079"/>
    <w:rsid w:val="006567AB"/>
    <w:rsid w:val="006650CE"/>
    <w:rsid w:val="006B496C"/>
    <w:rsid w:val="006D0B95"/>
    <w:rsid w:val="006F4BE1"/>
    <w:rsid w:val="0071784C"/>
    <w:rsid w:val="0077054C"/>
    <w:rsid w:val="007B358F"/>
    <w:rsid w:val="00857694"/>
    <w:rsid w:val="008643D2"/>
    <w:rsid w:val="00894CCA"/>
    <w:rsid w:val="008A6714"/>
    <w:rsid w:val="008A7996"/>
    <w:rsid w:val="00947010"/>
    <w:rsid w:val="00985590"/>
    <w:rsid w:val="0099384A"/>
    <w:rsid w:val="009C1B23"/>
    <w:rsid w:val="009C54AE"/>
    <w:rsid w:val="009E5102"/>
    <w:rsid w:val="009F188B"/>
    <w:rsid w:val="00A0494F"/>
    <w:rsid w:val="00A073FC"/>
    <w:rsid w:val="00A40AEA"/>
    <w:rsid w:val="00A93528"/>
    <w:rsid w:val="00AA1BD1"/>
    <w:rsid w:val="00AA7495"/>
    <w:rsid w:val="00AB57A9"/>
    <w:rsid w:val="00AE55B8"/>
    <w:rsid w:val="00AF512F"/>
    <w:rsid w:val="00B122CA"/>
    <w:rsid w:val="00B542F0"/>
    <w:rsid w:val="00B570B0"/>
    <w:rsid w:val="00B61F16"/>
    <w:rsid w:val="00B6762A"/>
    <w:rsid w:val="00B8657C"/>
    <w:rsid w:val="00B96861"/>
    <w:rsid w:val="00BD4255"/>
    <w:rsid w:val="00C25957"/>
    <w:rsid w:val="00C67FB4"/>
    <w:rsid w:val="00CD07E9"/>
    <w:rsid w:val="00CD698F"/>
    <w:rsid w:val="00D41D2E"/>
    <w:rsid w:val="00DB519E"/>
    <w:rsid w:val="00DF0236"/>
    <w:rsid w:val="00E034E7"/>
    <w:rsid w:val="00E74F7E"/>
    <w:rsid w:val="00E9021F"/>
    <w:rsid w:val="00E960BB"/>
    <w:rsid w:val="00ED0BF3"/>
    <w:rsid w:val="00F33CBF"/>
    <w:rsid w:val="00F77204"/>
    <w:rsid w:val="00F965FF"/>
    <w:rsid w:val="00FA3106"/>
    <w:rsid w:val="00FA748E"/>
    <w:rsid w:val="011B655A"/>
    <w:rsid w:val="08D5A24E"/>
    <w:rsid w:val="0EABB35B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57727-239E-4D8D-BF08-CC0F6CBCE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977</Words>
  <Characters>5863</Characters>
  <Application>Microsoft Office Word</Application>
  <DocSecurity>0</DocSecurity>
  <Lines>48</Lines>
  <Paragraphs>13</Paragraphs>
  <ScaleCrop>false</ScaleCrop>
  <Company>Właściciel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Jadwiga Pawłowska-Mielech</cp:lastModifiedBy>
  <cp:revision>16</cp:revision>
  <dcterms:created xsi:type="dcterms:W3CDTF">2020-12-13T23:50:00Z</dcterms:created>
  <dcterms:modified xsi:type="dcterms:W3CDTF">2022-09-22T18:10:00Z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